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B069F">
      <w:pPr>
        <w:spacing w:before="176" w:line="357" w:lineRule="auto"/>
        <w:ind w:left="2900" w:right="77" w:hanging="2814"/>
        <w:rPr>
          <w:rFonts w:ascii="Arial"/>
          <w:sz w:val="21"/>
        </w:rPr>
      </w:pP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辽</w:t>
      </w:r>
      <w:bookmarkStart w:id="0" w:name="_GoBack"/>
      <w:bookmarkEnd w:id="0"/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宁大学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202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年招收攻读博士学位研究生(普通招考方式)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初试科目考试大纲</w:t>
      </w:r>
    </w:p>
    <w:p w14:paraId="7DBD6D0F">
      <w:pPr>
        <w:pStyle w:val="2"/>
        <w:spacing w:before="91" w:line="219" w:lineRule="auto"/>
        <w:ind w:left="34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科目代码：</w:t>
      </w:r>
      <w:r>
        <w:rPr>
          <w:spacing w:val="-4"/>
          <w:sz w:val="28"/>
          <w:szCs w:val="28"/>
        </w:rPr>
        <w:t>2002</w:t>
      </w:r>
    </w:p>
    <w:p w14:paraId="7ECAAB67">
      <w:pPr>
        <w:pStyle w:val="2"/>
        <w:spacing w:before="293" w:line="397" w:lineRule="auto"/>
        <w:ind w:left="34" w:right="3571"/>
        <w:rPr>
          <w:rFonts w:ascii="Arial"/>
          <w:sz w:val="21"/>
        </w:rPr>
      </w:pPr>
      <w:r>
        <w:rPr>
          <w:b/>
          <w:bCs/>
          <w:spacing w:val="-3"/>
          <w:sz w:val="28"/>
          <w:szCs w:val="28"/>
        </w:rPr>
        <w:t>科目名称：</w:t>
      </w:r>
      <w:r>
        <w:rPr>
          <w:spacing w:val="-3"/>
          <w:sz w:val="28"/>
          <w:szCs w:val="28"/>
        </w:rPr>
        <w:t>经济学基础理论（经济类）</w:t>
      </w:r>
      <w:r>
        <w:rPr>
          <w:spacing w:val="3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>满</w:t>
      </w:r>
      <w:r>
        <w:rPr>
          <w:spacing w:val="6"/>
          <w:sz w:val="28"/>
          <w:szCs w:val="28"/>
        </w:rPr>
        <w:t xml:space="preserve">    </w:t>
      </w:r>
      <w:r>
        <w:rPr>
          <w:b/>
          <w:bCs/>
          <w:spacing w:val="-7"/>
          <w:sz w:val="28"/>
          <w:szCs w:val="28"/>
        </w:rPr>
        <w:t>分：</w:t>
      </w:r>
      <w:r>
        <w:rPr>
          <w:spacing w:val="-7"/>
          <w:sz w:val="28"/>
          <w:szCs w:val="28"/>
        </w:rPr>
        <w:t>100</w:t>
      </w:r>
      <w:r>
        <w:rPr>
          <w:spacing w:val="-45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</w:t>
      </w:r>
    </w:p>
    <w:p w14:paraId="352910E9">
      <w:pPr>
        <w:spacing w:before="78" w:line="220" w:lineRule="auto"/>
        <w:ind w:left="345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微观经济理论</w:t>
      </w:r>
    </w:p>
    <w:p w14:paraId="1FB74072">
      <w:pPr>
        <w:spacing w:line="258" w:lineRule="auto"/>
        <w:rPr>
          <w:rFonts w:hint="eastAsia" w:ascii="仿宋" w:hAnsi="仿宋" w:eastAsia="仿宋" w:cs="仿宋"/>
          <w:sz w:val="28"/>
          <w:szCs w:val="28"/>
        </w:rPr>
      </w:pPr>
    </w:p>
    <w:p w14:paraId="7F4000C8">
      <w:pPr>
        <w:spacing w:before="78" w:line="220" w:lineRule="auto"/>
        <w:ind w:left="21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一、经济学的数学基础、经济学与经济模型</w:t>
      </w:r>
    </w:p>
    <w:p w14:paraId="183DA79B">
      <w:pPr>
        <w:pStyle w:val="2"/>
        <w:spacing w:before="173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（一）凹函数、凹函数的判定、凹函数的性质</w:t>
      </w:r>
    </w:p>
    <w:p w14:paraId="06BCA452">
      <w:pPr>
        <w:pStyle w:val="2"/>
        <w:spacing w:before="31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（二）凸函数、凸函数的判定、凸函数的性质</w:t>
      </w:r>
    </w:p>
    <w:p w14:paraId="36907C2D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（三）优化方法及一阶条件与二阶条件、优化方法的应用</w:t>
      </w:r>
    </w:p>
    <w:p w14:paraId="0640B08B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（四）包络定理及应用</w:t>
      </w:r>
    </w:p>
    <w:p w14:paraId="4765CF4A">
      <w:pPr>
        <w:pStyle w:val="2"/>
        <w:spacing w:before="29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（五）齐次函数及应用</w:t>
      </w:r>
    </w:p>
    <w:p w14:paraId="3AAEF189">
      <w:pPr>
        <w:pStyle w:val="2"/>
        <w:spacing w:before="27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（六）经济学发展简史</w:t>
      </w:r>
    </w:p>
    <w:p w14:paraId="4AFA239E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（七）微观经济学的研究对象</w:t>
      </w:r>
    </w:p>
    <w:p w14:paraId="47850712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（八）经济模型</w:t>
      </w:r>
    </w:p>
    <w:p w14:paraId="3262CCBB">
      <w:pPr>
        <w:spacing w:before="196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二、消费者理论</w:t>
      </w:r>
    </w:p>
    <w:p w14:paraId="60FEFCA6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（一）基数效用理论与消费者均衡</w:t>
      </w:r>
    </w:p>
    <w:p w14:paraId="63F77E1A">
      <w:pPr>
        <w:pStyle w:val="2"/>
        <w:spacing w:before="29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（二）偏好</w:t>
      </w:r>
    </w:p>
    <w:p w14:paraId="5CF8923A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（三）序数效用理论与消费者均衡</w:t>
      </w:r>
    </w:p>
    <w:p w14:paraId="476EE62A">
      <w:pPr>
        <w:pStyle w:val="2"/>
        <w:spacing w:before="30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（四）收入效应与替代效应</w:t>
      </w:r>
    </w:p>
    <w:p w14:paraId="47234994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（五）间接效用函数</w:t>
      </w:r>
    </w:p>
    <w:p w14:paraId="060BA611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（六）支出函数</w:t>
      </w:r>
    </w:p>
    <w:p w14:paraId="6B5F56E9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（七）马歇尔需求函数与希克斯需求函数</w:t>
      </w:r>
    </w:p>
    <w:p w14:paraId="311FFA58">
      <w:pPr>
        <w:pStyle w:val="2"/>
        <w:spacing w:before="30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（八）需求弹性</w:t>
      </w:r>
    </w:p>
    <w:p w14:paraId="16A89C94">
      <w:pPr>
        <w:pStyle w:val="2"/>
        <w:spacing w:before="3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（九）消费者剩余</w:t>
      </w:r>
    </w:p>
    <w:p w14:paraId="18CFF048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（十）</w:t>
      </w:r>
      <w:r>
        <w:rPr>
          <w:rFonts w:hint="eastAsia"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不确定条件下消费者的选择</w:t>
      </w:r>
    </w:p>
    <w:p w14:paraId="6C4438A5">
      <w:pPr>
        <w:spacing w:before="196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三、生产者理论</w:t>
      </w:r>
    </w:p>
    <w:p w14:paraId="1370E5CE">
      <w:pPr>
        <w:pStyle w:val="2"/>
        <w:spacing w:before="173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（一）生产函数</w:t>
      </w:r>
    </w:p>
    <w:p w14:paraId="345BDD74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（二）短期的生产函数及相关理论</w:t>
      </w:r>
    </w:p>
    <w:p w14:paraId="0A97971E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（三）长期的生产函数及相关理论</w:t>
      </w:r>
    </w:p>
    <w:p w14:paraId="6F0147E7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（四）成本函数</w:t>
      </w:r>
    </w:p>
    <w:p w14:paraId="2096035E">
      <w:pPr>
        <w:spacing w:line="218" w:lineRule="auto"/>
        <w:rPr>
          <w:rFonts w:hint="eastAsia" w:ascii="仿宋" w:hAnsi="仿宋" w:eastAsia="仿宋" w:cs="仿宋"/>
          <w:sz w:val="28"/>
          <w:szCs w:val="28"/>
        </w:rPr>
        <w:sectPr>
          <w:footerReference r:id="rId5" w:type="default"/>
          <w:pgSz w:w="11907" w:h="16839"/>
          <w:pgMar w:top="1431" w:right="1785" w:bottom="1372" w:left="1785" w:header="0" w:footer="1209" w:gutter="0"/>
          <w:cols w:space="720" w:num="1"/>
        </w:sectPr>
      </w:pPr>
    </w:p>
    <w:p w14:paraId="6351BC0C">
      <w:pPr>
        <w:pStyle w:val="2"/>
        <w:spacing w:before="4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（五）短期成本函数及相关理论</w:t>
      </w:r>
    </w:p>
    <w:p w14:paraId="621E5F7E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（六）长期成本函数及相关理论</w:t>
      </w:r>
    </w:p>
    <w:p w14:paraId="3255BD02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（七）规模报酬与规模经济</w:t>
      </w:r>
    </w:p>
    <w:p w14:paraId="2B53B1CC">
      <w:pPr>
        <w:spacing w:before="195" w:line="220" w:lineRule="auto"/>
        <w:ind w:left="42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四、完全竞争市场的局部均衡</w:t>
      </w:r>
    </w:p>
    <w:p w14:paraId="6986B397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（一）完全竞争与均衡</w:t>
      </w:r>
    </w:p>
    <w:p w14:paraId="48899BC4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（二）完全竞争厂商与行业的短期供给曲线</w:t>
      </w:r>
    </w:p>
    <w:p w14:paraId="7C4FAA0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（三）完全竞争行业的长期供给曲线</w:t>
      </w:r>
    </w:p>
    <w:p w14:paraId="62DC0AB7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（四）生产者剩余</w:t>
      </w:r>
    </w:p>
    <w:p w14:paraId="58C9E91B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0"/>
          <w:sz w:val="28"/>
          <w:szCs w:val="28"/>
        </w:rPr>
        <w:t>（五）</w:t>
      </w:r>
      <w:r>
        <w:rPr>
          <w:rFonts w:hint="eastAsia"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>供给弹性</w:t>
      </w:r>
    </w:p>
    <w:p w14:paraId="774139A9">
      <w:pPr>
        <w:pStyle w:val="2"/>
        <w:spacing w:before="3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（六）完全竞争均衡与福利</w:t>
      </w:r>
    </w:p>
    <w:p w14:paraId="7BD266D7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（七）政府价格管制与福利</w:t>
      </w:r>
    </w:p>
    <w:p w14:paraId="7FD3A30C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（八）政府税收与福利</w:t>
      </w:r>
    </w:p>
    <w:p w14:paraId="6135B221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（九）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自由贸易与福利</w:t>
      </w:r>
    </w:p>
    <w:p w14:paraId="1ECED453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（十）贸易保护与福利</w:t>
      </w:r>
    </w:p>
    <w:p w14:paraId="1803EBF4">
      <w:pPr>
        <w:spacing w:before="195" w:line="220" w:lineRule="auto"/>
        <w:ind w:left="1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五、不完全竞争市场的局部均衡</w:t>
      </w:r>
    </w:p>
    <w:p w14:paraId="2BA9E197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（一）垄断与均衡</w:t>
      </w:r>
    </w:p>
    <w:p w14:paraId="74E85FD6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（二）垄断厂商的价格歧视</w:t>
      </w:r>
    </w:p>
    <w:p w14:paraId="6F57EA3E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（三）垄断均衡与福利</w:t>
      </w:r>
    </w:p>
    <w:p w14:paraId="4C24E5E2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（四）</w:t>
      </w:r>
      <w:r>
        <w:rPr>
          <w:rFonts w:hint="eastAsia"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自然垄断及对其公共管制</w:t>
      </w:r>
    </w:p>
    <w:p w14:paraId="6F87F261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（五）垄断竞争与均衡</w:t>
      </w:r>
    </w:p>
    <w:p w14:paraId="7CAD031A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（六）垄断竞争均衡与福利</w:t>
      </w:r>
    </w:p>
    <w:p w14:paraId="3CF8670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（七）寡头与均衡</w:t>
      </w:r>
    </w:p>
    <w:p w14:paraId="61D545F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（八）</w:t>
      </w:r>
      <w:r>
        <w:rPr>
          <w:rFonts w:hint="eastAsia"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解释寡头行为的经济模型与福利</w:t>
      </w:r>
    </w:p>
    <w:p w14:paraId="6F18956A">
      <w:pPr>
        <w:spacing w:before="195" w:line="220" w:lineRule="auto"/>
        <w:ind w:left="2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六、生产要素市场的局部均衡</w:t>
      </w:r>
    </w:p>
    <w:p w14:paraId="7DB6D16C">
      <w:pPr>
        <w:pStyle w:val="2"/>
        <w:spacing w:before="173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（一）生产要素的需求</w:t>
      </w:r>
    </w:p>
    <w:p w14:paraId="0489ED90">
      <w:pPr>
        <w:pStyle w:val="2"/>
        <w:spacing w:before="28" w:line="220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（二）生产要素的供给</w:t>
      </w:r>
    </w:p>
    <w:p w14:paraId="1C4A6DA3">
      <w:pPr>
        <w:pStyle w:val="2"/>
        <w:spacing w:before="27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（三）生产要素市场的均衡</w:t>
      </w:r>
    </w:p>
    <w:p w14:paraId="745E79C0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（四）生产要素市场均衡的变动</w:t>
      </w:r>
    </w:p>
    <w:p w14:paraId="50F8F930">
      <w:pPr>
        <w:spacing w:before="195" w:line="220" w:lineRule="auto"/>
        <w:ind w:left="2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七、一般均衡和福利经济学</w:t>
      </w:r>
    </w:p>
    <w:p w14:paraId="4D27B2DC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（一）局部均衡与一般均衡</w:t>
      </w:r>
    </w:p>
    <w:p w14:paraId="172C4998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（二）经济效率</w:t>
      </w:r>
    </w:p>
    <w:p w14:paraId="296FFAD7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（三）帕累托最优的条件</w:t>
      </w:r>
    </w:p>
    <w:p w14:paraId="75E25583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（四）完全竞争和帕累托最优</w:t>
      </w:r>
    </w:p>
    <w:p w14:paraId="49F718CC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（五）非完全竞争和帕累托最优</w:t>
      </w:r>
    </w:p>
    <w:p w14:paraId="54C1EC53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（六）“看不见的手</w:t>
      </w:r>
      <w:r>
        <w:rPr>
          <w:rFonts w:hint="eastAsia"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>”假说</w:t>
      </w:r>
    </w:p>
    <w:p w14:paraId="0A6D04EB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（七）社会福利函数</w:t>
      </w:r>
    </w:p>
    <w:p w14:paraId="7B9F6A9E">
      <w:pPr>
        <w:spacing w:before="193" w:line="220" w:lineRule="auto"/>
        <w:ind w:left="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八、市场失灵和微观经济政策</w:t>
      </w:r>
    </w:p>
    <w:p w14:paraId="1782C56A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（一）市场失灵</w:t>
      </w:r>
    </w:p>
    <w:p w14:paraId="3C49BEBB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（二）垄断与市场失灵及公共政策</w:t>
      </w:r>
    </w:p>
    <w:p w14:paraId="592160E3">
      <w:pPr>
        <w:pStyle w:val="2"/>
        <w:spacing w:before="47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（三）外部性与市场失灵及公共政策</w:t>
      </w:r>
    </w:p>
    <w:p w14:paraId="3178E44F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（四）公共物品、公共资源与市场失灵及公共政策</w:t>
      </w:r>
    </w:p>
    <w:p w14:paraId="13E705A2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（五）信息不对称与市场失灵及公共政策</w:t>
      </w:r>
    </w:p>
    <w:p w14:paraId="145B9DA6">
      <w:pPr>
        <w:spacing w:before="195" w:line="219" w:lineRule="auto"/>
        <w:ind w:left="2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九、博弈论</w:t>
      </w:r>
    </w:p>
    <w:p w14:paraId="6DA5AFEC">
      <w:pPr>
        <w:pStyle w:val="2"/>
        <w:spacing w:before="174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（一）博弈与策略行为</w:t>
      </w:r>
    </w:p>
    <w:p w14:paraId="6477FA5A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（二）同时博弈与均衡</w:t>
      </w:r>
    </w:p>
    <w:p w14:paraId="1B497951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（三）序贯博弈与均衡</w:t>
      </w:r>
    </w:p>
    <w:p w14:paraId="7D507BAD">
      <w:pPr>
        <w:spacing w:before="196" w:line="220" w:lineRule="auto"/>
        <w:ind w:left="34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宏观经济理论</w:t>
      </w:r>
    </w:p>
    <w:p w14:paraId="55318420">
      <w:pPr>
        <w:spacing w:line="257" w:lineRule="auto"/>
        <w:rPr>
          <w:rFonts w:hint="eastAsia" w:ascii="仿宋" w:hAnsi="仿宋" w:eastAsia="仿宋" w:cs="仿宋"/>
          <w:sz w:val="28"/>
          <w:szCs w:val="28"/>
        </w:rPr>
      </w:pPr>
    </w:p>
    <w:p w14:paraId="3520226F">
      <w:pPr>
        <w:spacing w:before="78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十、国民收入核算理论</w:t>
      </w:r>
    </w:p>
    <w:p w14:paraId="2A168E5E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（一）宏观经济学发展简史与宏观经济学研究对象</w:t>
      </w:r>
    </w:p>
    <w:p w14:paraId="2A146891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（二）国内生产总值及其核算方法</w:t>
      </w:r>
    </w:p>
    <w:p w14:paraId="3481463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（三）国民收入的其他衡量指标</w:t>
      </w:r>
    </w:p>
    <w:p w14:paraId="6B3977EF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（四）国民收入的基本等式</w:t>
      </w:r>
    </w:p>
    <w:p w14:paraId="7373C5D9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（五）名义</w:t>
      </w:r>
      <w:r>
        <w:rPr>
          <w:rFonts w:hint="eastAsia"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GDP</w:t>
      </w:r>
      <w:r>
        <w:rPr>
          <w:rFonts w:hint="eastAsia"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与实际</w:t>
      </w:r>
      <w:r>
        <w:rPr>
          <w:rFonts w:hint="eastAsia"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GDP</w:t>
      </w:r>
    </w:p>
    <w:p w14:paraId="647EB251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（六）失业和物价水平的衡量</w:t>
      </w:r>
    </w:p>
    <w:p w14:paraId="35FF66E4">
      <w:pPr>
        <w:spacing w:before="195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十一、长期中的国民收入决定理论</w:t>
      </w:r>
    </w:p>
    <w:p w14:paraId="5F2D58DB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（一）长期中产品和服务的生产与决定</w:t>
      </w:r>
    </w:p>
    <w:p w14:paraId="0D8F7AAA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（二）国民收入源自哪里、流向何处</w:t>
      </w:r>
    </w:p>
    <w:p w14:paraId="7C336E09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（三）长期中产品和服务的均衡</w:t>
      </w:r>
    </w:p>
    <w:p w14:paraId="6488240E">
      <w:pPr>
        <w:spacing w:before="195" w:line="219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十二、长期中的货币与通货膨胀</w:t>
      </w:r>
    </w:p>
    <w:p w14:paraId="479A3A79">
      <w:pPr>
        <w:pStyle w:val="2"/>
        <w:spacing w:before="175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（一）货币数量论</w:t>
      </w:r>
    </w:p>
    <w:p w14:paraId="0187BD11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（二）货币铸造税</w:t>
      </w:r>
    </w:p>
    <w:p w14:paraId="2972AE22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（三）通货膨胀与利率</w:t>
      </w:r>
    </w:p>
    <w:p w14:paraId="504F50DA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（四）名义利率与货币需求</w:t>
      </w:r>
    </w:p>
    <w:p w14:paraId="77AEF4A9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（五）通货膨胀的社会成本</w:t>
      </w:r>
    </w:p>
    <w:p w14:paraId="70E53C8F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（六）古典的二分法</w:t>
      </w:r>
    </w:p>
    <w:p w14:paraId="2AB7AC07">
      <w:pPr>
        <w:spacing w:before="196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十三、长期中的失业理论</w:t>
      </w:r>
    </w:p>
    <w:p w14:paraId="75D92E8D">
      <w:pPr>
        <w:pStyle w:val="2"/>
        <w:spacing w:before="173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（一）长期中的失业理论</w:t>
      </w:r>
    </w:p>
    <w:p w14:paraId="493C7B5A">
      <w:pPr>
        <w:pStyle w:val="2"/>
        <w:spacing w:before="28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（二）长期失业理论的应用</w:t>
      </w:r>
    </w:p>
    <w:p w14:paraId="2D0BE7CF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十四、长期中的经济增长理论</w:t>
      </w:r>
    </w:p>
    <w:p w14:paraId="43901108">
      <w:pPr>
        <w:pStyle w:val="2"/>
        <w:spacing w:before="17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（一）增长核算与应用</w:t>
      </w:r>
    </w:p>
    <w:p w14:paraId="03D36885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（二）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新古典增长理论、应用及政策</w:t>
      </w:r>
    </w:p>
    <w:p w14:paraId="3444E5F2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（三）内生增长理论、应用及政策</w:t>
      </w:r>
    </w:p>
    <w:p w14:paraId="2ABBB9DB">
      <w:pPr>
        <w:spacing w:before="194" w:line="190" w:lineRule="auto"/>
        <w:ind w:left="2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5"/>
          <w:sz w:val="28"/>
          <w:szCs w:val="28"/>
        </w:rPr>
        <w:t>十五、短期的国民收入决定理论</w:t>
      </w:r>
      <w:r>
        <w:rPr>
          <w:rFonts w:hint="eastAsia" w:ascii="仿宋" w:hAnsi="仿宋" w:eastAsia="仿宋" w:cs="仿宋"/>
          <w:color w:val="333333"/>
          <w:spacing w:val="6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Ⅰ</w:t>
      </w:r>
      <w:r>
        <w:rPr>
          <w:rFonts w:hint="eastAsia" w:ascii="仿宋" w:hAnsi="仿宋" w:eastAsia="仿宋" w:cs="仿宋"/>
          <w:color w:val="333333"/>
          <w:spacing w:val="-5"/>
          <w:sz w:val="28"/>
          <w:szCs w:val="28"/>
        </w:rPr>
        <w:t>：收入——支出模型</w:t>
      </w:r>
    </w:p>
    <w:p w14:paraId="78D1B51B">
      <w:pPr>
        <w:pStyle w:val="2"/>
        <w:spacing w:before="13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（一）均衡产出</w:t>
      </w:r>
    </w:p>
    <w:p w14:paraId="09D86A64">
      <w:pPr>
        <w:spacing w:line="217" w:lineRule="auto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（二）凯恩斯的消费理论</w:t>
      </w:r>
    </w:p>
    <w:p w14:paraId="6CC8AEB5">
      <w:pPr>
        <w:pStyle w:val="2"/>
        <w:spacing w:before="4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（三）收入——支出模型及应用</w:t>
      </w:r>
    </w:p>
    <w:p w14:paraId="00882578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（四）乘数论</w:t>
      </w:r>
    </w:p>
    <w:p w14:paraId="57701606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十六、封闭条件下的短期国民收入决定理论</w:t>
      </w:r>
      <w:r>
        <w:rPr>
          <w:rFonts w:hint="eastAsia" w:ascii="仿宋" w:hAnsi="仿宋" w:eastAsia="仿宋" w:cs="仿宋"/>
          <w:spacing w:val="4"/>
          <w:sz w:val="28"/>
          <w:szCs w:val="28"/>
        </w:rPr>
        <w:t>Ⅱ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IS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——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LM</w:t>
      </w:r>
      <w:r>
        <w:rPr>
          <w:rFonts w:hint="eastAsia" w:ascii="仿宋" w:hAnsi="仿宋" w:eastAsia="仿宋" w:cs="仿宋"/>
          <w:color w:val="333333"/>
          <w:spacing w:val="-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模型</w:t>
      </w:r>
    </w:p>
    <w:p w14:paraId="3F1D2562">
      <w:pPr>
        <w:pStyle w:val="2"/>
        <w:spacing w:before="173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（一）投资的决定</w:t>
      </w:r>
    </w:p>
    <w:p w14:paraId="1C0A15AC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（二）IS</w:t>
      </w:r>
      <w:r>
        <w:rPr>
          <w:rFonts w:hint="eastAsia"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模型</w:t>
      </w:r>
    </w:p>
    <w:p w14:paraId="763A2D70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（三）LM</w:t>
      </w:r>
      <w:r>
        <w:rPr>
          <w:rFonts w:hint="eastAsia"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模型</w:t>
      </w:r>
    </w:p>
    <w:p w14:paraId="6F01CFBC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（四）IS—LM</w:t>
      </w:r>
      <w:r>
        <w:rPr>
          <w:rFonts w:hint="eastAsia"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模型及应用</w:t>
      </w:r>
    </w:p>
    <w:p w14:paraId="722116D6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（五）</w:t>
      </w:r>
      <w:r>
        <w:rPr>
          <w:rFonts w:hint="eastAsia"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外生冲击下的短期均衡</w:t>
      </w:r>
    </w:p>
    <w:p w14:paraId="57EB1570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（六）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外生冲击下短期均衡向长期均衡的调整</w:t>
      </w:r>
    </w:p>
    <w:p w14:paraId="2068A036">
      <w:pPr>
        <w:spacing w:before="194" w:line="190" w:lineRule="auto"/>
        <w:ind w:left="2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十七、短期的国民收入决定理论</w:t>
      </w:r>
      <w:r>
        <w:rPr>
          <w:rFonts w:hint="eastAsia" w:ascii="仿宋" w:hAnsi="仿宋" w:eastAsia="仿宋" w:cs="仿宋"/>
          <w:b/>
          <w:bCs/>
          <w:spacing w:val="9"/>
          <w:sz w:val="28"/>
          <w:szCs w:val="28"/>
        </w:rPr>
        <w:t>Ⅲ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AD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AS</w:t>
      </w:r>
      <w:r>
        <w:rPr>
          <w:rFonts w:hint="eastAsia" w:ascii="仿宋" w:hAnsi="仿宋" w:eastAsia="仿宋" w:cs="仿宋"/>
          <w:color w:val="333333"/>
          <w:spacing w:val="-4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模型</w:t>
      </w:r>
    </w:p>
    <w:p w14:paraId="7BEEA538">
      <w:pPr>
        <w:pStyle w:val="2"/>
        <w:spacing w:before="13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（一）总需求模型</w:t>
      </w:r>
    </w:p>
    <w:p w14:paraId="08D2CA00">
      <w:pPr>
        <w:pStyle w:val="2"/>
        <w:spacing w:before="28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（二）总供给模型</w:t>
      </w:r>
    </w:p>
    <w:p w14:paraId="4E8054F9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（三）总需求——总供给模型及应用</w:t>
      </w:r>
    </w:p>
    <w:p w14:paraId="2CE795DD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（四）外生冲击下的短期均衡</w:t>
      </w:r>
    </w:p>
    <w:p w14:paraId="4C746BC6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（五）外生冲击下短期均衡向长期均衡的调整</w:t>
      </w:r>
    </w:p>
    <w:p w14:paraId="20BAAA30">
      <w:pPr>
        <w:spacing w:before="194" w:line="219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十八、短期中的失业与通货膨胀</w:t>
      </w:r>
    </w:p>
    <w:p w14:paraId="0577F210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（一）短期中的失业理论</w:t>
      </w:r>
    </w:p>
    <w:p w14:paraId="560576E5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（二）短期中的通货膨胀理论</w:t>
      </w:r>
    </w:p>
    <w:p w14:paraId="2ACDA1EF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（三）菲利普斯曲线</w:t>
      </w:r>
    </w:p>
    <w:p w14:paraId="60D141F5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十九、开放条件下的</w:t>
      </w:r>
      <w:r>
        <w:rPr>
          <w:rFonts w:hint="eastAsia" w:ascii="仿宋" w:hAnsi="仿宋" w:eastAsia="仿宋" w:cs="仿宋"/>
          <w:color w:val="333333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IS</w:t>
      </w: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——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LM</w:t>
      </w:r>
      <w:r>
        <w:rPr>
          <w:rFonts w:hint="eastAsia" w:ascii="仿宋" w:hAnsi="仿宋" w:eastAsia="仿宋" w:cs="仿宋"/>
          <w:color w:val="333333"/>
          <w:spacing w:val="-5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模型</w:t>
      </w:r>
    </w:p>
    <w:p w14:paraId="2581309A">
      <w:pPr>
        <w:pStyle w:val="2"/>
        <w:spacing w:before="174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（一）汇率与对外贸易</w:t>
      </w:r>
    </w:p>
    <w:p w14:paraId="5359EBDB">
      <w:pPr>
        <w:pStyle w:val="2"/>
        <w:spacing w:before="27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（二）蒙代尔——弗莱明模型及应用</w:t>
      </w:r>
    </w:p>
    <w:p w14:paraId="70E45D3A">
      <w:pPr>
        <w:spacing w:before="194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二十、宏观经济政策</w:t>
      </w:r>
    </w:p>
    <w:p w14:paraId="2DDDB2DA">
      <w:pPr>
        <w:pStyle w:val="2"/>
        <w:spacing w:before="17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（一）宏观经济政策与目标</w:t>
      </w:r>
    </w:p>
    <w:p w14:paraId="1FC21788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（二）财政政策及其效果</w:t>
      </w:r>
    </w:p>
    <w:p w14:paraId="11439632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（三）货币政策及其效果</w:t>
      </w:r>
    </w:p>
    <w:p w14:paraId="0D3F1FBA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（四）两种政策的混合使用</w:t>
      </w:r>
    </w:p>
    <w:p w14:paraId="3A465E0D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（五）总需求管理政策与总供给管理政策</w:t>
      </w:r>
    </w:p>
    <w:p w14:paraId="647E7AE7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（六）</w:t>
      </w:r>
      <w:r>
        <w:rPr>
          <w:rFonts w:hint="eastAsia"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宏观经济政策争论</w:t>
      </w:r>
    </w:p>
    <w:p w14:paraId="04A85FB6">
      <w:pPr>
        <w:spacing w:before="195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二十一、宏观经济学的微观基础</w:t>
      </w:r>
    </w:p>
    <w:p w14:paraId="43928FC8">
      <w:pPr>
        <w:pStyle w:val="2"/>
        <w:spacing w:before="174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（一）消费理论</w:t>
      </w:r>
    </w:p>
    <w:p w14:paraId="381D9A23">
      <w:pPr>
        <w:pStyle w:val="2"/>
        <w:spacing w:before="29" w:line="220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（二）投资理论</w:t>
      </w:r>
    </w:p>
    <w:p w14:paraId="57221723">
      <w:pPr>
        <w:pStyle w:val="2"/>
        <w:spacing w:before="27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（三）</w:t>
      </w:r>
      <w:r>
        <w:rPr>
          <w:rFonts w:hint="eastAsia"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货币供给理论</w:t>
      </w:r>
    </w:p>
    <w:p w14:paraId="4C5CB302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（四）货币需求理论</w:t>
      </w:r>
    </w:p>
    <w:p w14:paraId="29AB1BAE">
      <w:pPr>
        <w:spacing w:before="194" w:line="219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二十二、宏观经济学的基本共识与争论</w:t>
      </w:r>
    </w:p>
    <w:p w14:paraId="1F24A6A1">
      <w:pPr>
        <w:pStyle w:val="2"/>
        <w:spacing w:before="174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（一）当前宏观经济学的基本共识</w:t>
      </w:r>
    </w:p>
    <w:p w14:paraId="1434AD45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（二）当前宏观经济学的争论</w:t>
      </w:r>
    </w:p>
    <w:p w14:paraId="203D3AF2">
      <w:pPr>
        <w:spacing w:line="217" w:lineRule="auto"/>
        <w:rPr>
          <w:rFonts w:hint="eastAsia" w:ascii="仿宋" w:hAnsi="仿宋" w:eastAsia="仿宋" w:cs="仿宋"/>
          <w:spacing w:val="-2"/>
          <w:sz w:val="28"/>
          <w:szCs w:val="28"/>
        </w:rPr>
        <w:sectPr>
          <w:footerReference r:id="rId6" w:type="default"/>
          <w:pgSz w:w="11907" w:h="16839"/>
          <w:pgMar w:top="1428" w:right="1785" w:bottom="1373" w:left="1785" w:header="0" w:footer="1209" w:gutter="0"/>
          <w:cols w:space="720" w:num="1"/>
        </w:sectPr>
      </w:pPr>
    </w:p>
    <w:p w14:paraId="1DC8FC3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7" w:type="default"/>
      <w:pgSz w:w="11907" w:h="16839"/>
      <w:pgMar w:top="1428" w:right="1785" w:bottom="1372" w:left="1785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E575BE8-385E-42B6-888B-48C20E0A7DF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6DBD618-E0A7-4A79-937D-35C6508A02A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4CD450B3-A87C-4283-A470-AC180C0B96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6A977">
    <w:pPr>
      <w:spacing w:line="166" w:lineRule="auto"/>
      <w:jc w:val="right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B03C7">
    <w:pPr>
      <w:spacing w:line="167" w:lineRule="auto"/>
      <w:ind w:right="1"/>
      <w:jc w:val="right"/>
      <w:rPr>
        <w:rFonts w:ascii="Calibri" w:hAnsi="Calibri" w:eastAsia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37438">
    <w:pPr>
      <w:spacing w:line="166" w:lineRule="auto"/>
      <w:ind w:right="7"/>
      <w:jc w:val="right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A20482"/>
    <w:rsid w:val="223B1839"/>
    <w:rsid w:val="305F115B"/>
    <w:rsid w:val="405E7DE3"/>
    <w:rsid w:val="50CD610B"/>
    <w:rsid w:val="525C2875"/>
    <w:rsid w:val="5F866A93"/>
    <w:rsid w:val="60F43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1744</Words>
  <Characters>1766</Characters>
  <TotalTime>13</TotalTime>
  <ScaleCrop>false</ScaleCrop>
  <LinksUpToDate>false</LinksUpToDate>
  <CharactersWithSpaces>1797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2023-12-15T14:15:00Z</dcterms:created>
  <dc:creator>微软用户</dc:creator>
  <cp:lastModifiedBy>夭桃秾李</cp:lastModifiedBy>
  <dcterms:modified xsi:type="dcterms:W3CDTF">2024-12-04T06:27:28Z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2024-11-25T14:44:55Z</vt:filetime>
  </property>
  <property fmtid="{D5CDD505-2E9C-101B-9397-08002B2CF9AE}" pid="4" name="KSOProductBuildVer">
    <vt:lpwstr>2052-12.1.0.19302</vt:lpwstr>
  </property>
  <property fmtid="{D5CDD505-2E9C-101B-9397-08002B2CF9AE}" pid="5" name="ICV">
    <vt:lpwstr>30AB12D32437455FA66A9AA78DED373C</vt:lpwstr>
  </property>
</Properties>
</file>